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C16FC5" w:rsidRPr="00D735CE" w14:paraId="701D47A5" w14:textId="77777777" w:rsidTr="00685EE6">
        <w:trPr>
          <w:trHeight w:val="339"/>
        </w:trPr>
        <w:tc>
          <w:tcPr>
            <w:tcW w:w="15848" w:type="dxa"/>
            <w:gridSpan w:val="8"/>
          </w:tcPr>
          <w:p w14:paraId="7548421D" w14:textId="1E3AECC8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8. Promote sustained, inclusive and sustainable economic growth, full and productive employment and decent work for all</w:t>
            </w:r>
          </w:p>
        </w:tc>
      </w:tr>
      <w:tr w:rsidR="00C16FC5" w:rsidRPr="00D735CE" w14:paraId="5E941008" w14:textId="007C2201" w:rsidTr="00C602C0">
        <w:trPr>
          <w:trHeight w:val="1223"/>
        </w:trPr>
        <w:tc>
          <w:tcPr>
            <w:tcW w:w="1893" w:type="dxa"/>
            <w:vMerge w:val="restart"/>
          </w:tcPr>
          <w:p w14:paraId="2981636D" w14:textId="46D4B3D3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 Protect labour rights and promote safe and secure working environments for all workers, including migrant workers, in particular women migrants, and those in precarious employment</w:t>
            </w:r>
          </w:p>
        </w:tc>
        <w:tc>
          <w:tcPr>
            <w:tcW w:w="1793" w:type="dxa"/>
            <w:vMerge w:val="restart"/>
          </w:tcPr>
          <w:p w14:paraId="63D00AB6" w14:textId="17A8EE8F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 Protect labour rights and promote safe and secure working environments for all workers, including migrant workers, in particular women migrants, and those in precarious employment</w:t>
            </w:r>
          </w:p>
        </w:tc>
        <w:tc>
          <w:tcPr>
            <w:tcW w:w="2097" w:type="dxa"/>
            <w:vMerge w:val="restart"/>
          </w:tcPr>
          <w:p w14:paraId="3F37D836" w14:textId="110C15B1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8.8.1: Frequency rates of fatal and non-fatal occupational injuries, by sex and migrant status</w:t>
            </w:r>
          </w:p>
        </w:tc>
        <w:tc>
          <w:tcPr>
            <w:tcW w:w="2127" w:type="dxa"/>
            <w:vMerge w:val="restart"/>
          </w:tcPr>
          <w:p w14:paraId="5C6E5F44" w14:textId="12E929A8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8.8.1: Decrease number of violations on occupational health and safety rules based on administrative data, Law on Occupational Health and Safety,</w:t>
            </w:r>
            <w:r>
              <w:rPr>
                <w:sz w:val="20"/>
                <w:szCs w:val="20"/>
              </w:rPr>
              <w:t xml:space="preserve"> </w:t>
            </w:r>
            <w:r w:rsidRPr="002D6EA6">
              <w:rPr>
                <w:sz w:val="20"/>
                <w:szCs w:val="20"/>
              </w:rPr>
              <w:t>with over at least 2.5 % of companies per year visited by labour inspectors- by 2030</w:t>
            </w:r>
          </w:p>
        </w:tc>
        <w:tc>
          <w:tcPr>
            <w:tcW w:w="3260" w:type="dxa"/>
          </w:tcPr>
          <w:p w14:paraId="114990C4" w14:textId="28C492BC" w:rsidR="00C16FC5" w:rsidRPr="002D6EA6" w:rsidRDefault="00C16FC5" w:rsidP="00EE6CAA">
            <w:pPr>
              <w:rPr>
                <w:sz w:val="20"/>
                <w:szCs w:val="20"/>
              </w:rPr>
            </w:pPr>
            <w:r w:rsidRPr="00EE6CAA">
              <w:rPr>
                <w:sz w:val="20"/>
                <w:szCs w:val="20"/>
              </w:rPr>
              <w:t>8.8.1 a 2015: 0.16 % of companies visited by labour inspectors per year, number of OSH interventions, number of cases, number of notices and recommendations by LI, number of penalties, as per annual LI reports</w:t>
            </w:r>
          </w:p>
        </w:tc>
        <w:tc>
          <w:tcPr>
            <w:tcW w:w="1417" w:type="dxa"/>
          </w:tcPr>
          <w:p w14:paraId="4E43799B" w14:textId="65593375" w:rsidR="00C16FC5" w:rsidRPr="002D6EA6" w:rsidRDefault="00AC5D40" w:rsidP="00AC5D4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In 2016,  </w:t>
            </w:r>
            <w:r w:rsidRPr="00AC5D40">
              <w:rPr>
                <w:sz w:val="20"/>
                <w:szCs w:val="20"/>
              </w:rPr>
              <w:t>based on “State Program on Working Conditions Inspection”</w:t>
            </w:r>
            <w:r>
              <w:rPr>
                <w:sz w:val="20"/>
                <w:szCs w:val="20"/>
              </w:rPr>
              <w:t xml:space="preserve"> </w:t>
            </w:r>
            <w:r w:rsidRPr="00AC5D40">
              <w:rPr>
                <w:sz w:val="20"/>
                <w:szCs w:val="20"/>
              </w:rPr>
              <w:t xml:space="preserve">188 </w:t>
            </w:r>
            <w:r>
              <w:rPr>
                <w:sz w:val="20"/>
                <w:szCs w:val="20"/>
              </w:rPr>
              <w:t>o</w:t>
            </w:r>
            <w:r w:rsidRPr="00AC5D40">
              <w:rPr>
                <w:sz w:val="20"/>
                <w:szCs w:val="20"/>
              </w:rPr>
              <w:t>bjects</w:t>
            </w:r>
            <w:r>
              <w:rPr>
                <w:sz w:val="20"/>
                <w:szCs w:val="20"/>
              </w:rPr>
              <w:t xml:space="preserve"> visited </w:t>
            </w:r>
            <w:r>
              <w:rPr>
                <w:sz w:val="20"/>
                <w:szCs w:val="20"/>
              </w:rPr>
              <w:t>by labour inspectors</w:t>
            </w:r>
          </w:p>
        </w:tc>
        <w:tc>
          <w:tcPr>
            <w:tcW w:w="1418" w:type="dxa"/>
          </w:tcPr>
          <w:p w14:paraId="0D9D1750" w14:textId="2BFBB5FB" w:rsidR="00C16FC5" w:rsidRPr="002D6EA6" w:rsidRDefault="00AC5D40" w:rsidP="00AC5D4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 201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,  </w:t>
            </w:r>
            <w:r w:rsidRPr="00AC5D40">
              <w:rPr>
                <w:sz w:val="20"/>
                <w:szCs w:val="20"/>
              </w:rPr>
              <w:t>based on “State Program on Working Conditions Inspection”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279</w:t>
            </w:r>
            <w:r w:rsidRPr="00AC5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AC5D40">
              <w:rPr>
                <w:sz w:val="20"/>
                <w:szCs w:val="20"/>
              </w:rPr>
              <w:t>bjects</w:t>
            </w:r>
            <w:r>
              <w:rPr>
                <w:sz w:val="20"/>
                <w:szCs w:val="20"/>
              </w:rPr>
              <w:t xml:space="preserve"> visited by labour inspectors</w:t>
            </w:r>
          </w:p>
        </w:tc>
        <w:tc>
          <w:tcPr>
            <w:tcW w:w="1843" w:type="dxa"/>
          </w:tcPr>
          <w:p w14:paraId="353139D6" w14:textId="0FDB6F69" w:rsidR="00C16FC5" w:rsidRPr="00B838F8" w:rsidRDefault="00175DE8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შრომის ინსპექცია</w:t>
            </w:r>
          </w:p>
        </w:tc>
      </w:tr>
      <w:tr w:rsidR="00C16FC5" w:rsidRPr="00D735CE" w14:paraId="28574BB5" w14:textId="3C84866F" w:rsidTr="00C602C0">
        <w:trPr>
          <w:trHeight w:val="1222"/>
        </w:trPr>
        <w:tc>
          <w:tcPr>
            <w:tcW w:w="1893" w:type="dxa"/>
            <w:vMerge/>
          </w:tcPr>
          <w:p w14:paraId="17CDCA28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CD12AEF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F68FAD4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6B4EFD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1DDB02F" w14:textId="40BCDFA1" w:rsidR="00C16FC5" w:rsidRDefault="00C16FC5" w:rsidP="00EE6CAA">
            <w:pPr>
              <w:rPr>
                <w:sz w:val="20"/>
                <w:szCs w:val="20"/>
              </w:rPr>
            </w:pPr>
            <w:r w:rsidRPr="00EE6CAA">
              <w:rPr>
                <w:sz w:val="20"/>
                <w:szCs w:val="20"/>
              </w:rPr>
              <w:t>8.8.1 b Registered cases of violation of OSH rules- 8</w:t>
            </w:r>
            <w:r>
              <w:rPr>
                <w:sz w:val="20"/>
                <w:szCs w:val="20"/>
              </w:rPr>
              <w:t>;</w:t>
            </w:r>
            <w:r w:rsidRPr="00EE6CAA">
              <w:rPr>
                <w:sz w:val="20"/>
                <w:szCs w:val="20"/>
              </w:rPr>
              <w:t xml:space="preserve"> </w:t>
            </w:r>
          </w:p>
          <w:p w14:paraId="34C20DB0" w14:textId="1F73EB29" w:rsidR="00C16FC5" w:rsidRPr="00175DE8" w:rsidRDefault="00C16FC5" w:rsidP="00175D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E6CAA">
              <w:rPr>
                <w:sz w:val="20"/>
                <w:szCs w:val="20"/>
              </w:rPr>
              <w:t>fatal occupational injuries -42; non-fatal occupational injuries- 82</w:t>
            </w:r>
            <w:r w:rsidR="00175DE8">
              <w:rPr>
                <w:rFonts w:ascii="Sylfaen" w:hAnsi="Sylfaen"/>
                <w:sz w:val="20"/>
                <w:szCs w:val="20"/>
                <w:lang w:val="ka-GE"/>
              </w:rPr>
              <w:t>, 2015</w:t>
            </w:r>
          </w:p>
        </w:tc>
        <w:tc>
          <w:tcPr>
            <w:tcW w:w="1417" w:type="dxa"/>
          </w:tcPr>
          <w:p w14:paraId="1393E13F" w14:textId="133E0D1A" w:rsidR="00C16FC5" w:rsidRPr="00AC5D40" w:rsidRDefault="00AC5D40" w:rsidP="00AC5D4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f</w:t>
            </w:r>
            <w:r w:rsidRPr="00EE6CAA">
              <w:rPr>
                <w:sz w:val="20"/>
                <w:szCs w:val="20"/>
              </w:rPr>
              <w:t>atal occupational injuries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</w:t>
            </w:r>
            <w:r w:rsidRPr="00EE6CAA">
              <w:rPr>
                <w:sz w:val="20"/>
                <w:szCs w:val="20"/>
              </w:rPr>
              <w:t xml:space="preserve">; non-fatal occupational injuries- </w:t>
            </w:r>
            <w:r>
              <w:rPr>
                <w:sz w:val="20"/>
                <w:szCs w:val="20"/>
              </w:rPr>
              <w:t>85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201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B34EC3B" w14:textId="6749B7E9" w:rsidR="00C16FC5" w:rsidRPr="002D6EA6" w:rsidRDefault="00AC5D40" w:rsidP="00AC5D40">
            <w:pPr>
              <w:jc w:val="center"/>
              <w:rPr>
                <w:sz w:val="20"/>
                <w:szCs w:val="20"/>
                <w:highlight w:val="yellow"/>
              </w:rPr>
            </w:pPr>
            <w:r w:rsidRPr="00EE6CAA">
              <w:rPr>
                <w:sz w:val="20"/>
                <w:szCs w:val="20"/>
              </w:rPr>
              <w:t>fatal occupational injuries -</w:t>
            </w:r>
            <w:r>
              <w:rPr>
                <w:sz w:val="20"/>
                <w:szCs w:val="20"/>
              </w:rPr>
              <w:t xml:space="preserve"> 47</w:t>
            </w:r>
            <w:r w:rsidRPr="00EE6CAA">
              <w:rPr>
                <w:sz w:val="20"/>
                <w:szCs w:val="20"/>
              </w:rPr>
              <w:t xml:space="preserve">; non-fatal occupational injuries- </w:t>
            </w:r>
            <w:r>
              <w:rPr>
                <w:sz w:val="20"/>
                <w:szCs w:val="20"/>
              </w:rPr>
              <w:t>106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2017</w:t>
            </w:r>
          </w:p>
        </w:tc>
        <w:tc>
          <w:tcPr>
            <w:tcW w:w="1843" w:type="dxa"/>
          </w:tcPr>
          <w:p w14:paraId="43261E70" w14:textId="3D114BAD" w:rsidR="00C16FC5" w:rsidRPr="00175DE8" w:rsidRDefault="00175DE8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შრომის ინსპ</w:t>
            </w:r>
            <w:bookmarkStart w:id="0" w:name="_GoBack"/>
            <w:bookmarkEnd w:id="0"/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ექცია</w:t>
            </w:r>
          </w:p>
        </w:tc>
      </w:tr>
      <w:tr w:rsidR="00C16FC5" w:rsidRPr="00D735CE" w14:paraId="19A3F708" w14:textId="77777777" w:rsidTr="00685EE6">
        <w:trPr>
          <w:trHeight w:val="315"/>
        </w:trPr>
        <w:tc>
          <w:tcPr>
            <w:tcW w:w="15848" w:type="dxa"/>
            <w:gridSpan w:val="8"/>
          </w:tcPr>
          <w:p w14:paraId="0E637C4B" w14:textId="32801351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10. Reduce inequality within and among countries</w:t>
            </w:r>
          </w:p>
        </w:tc>
      </w:tr>
      <w:tr w:rsidR="00C16FC5" w:rsidRPr="00D735CE" w14:paraId="11232912" w14:textId="0C89C277" w:rsidTr="00C602C0">
        <w:trPr>
          <w:trHeight w:val="608"/>
        </w:trPr>
        <w:tc>
          <w:tcPr>
            <w:tcW w:w="1893" w:type="dxa"/>
            <w:vMerge w:val="restart"/>
          </w:tcPr>
          <w:p w14:paraId="5C348448" w14:textId="3148D46B" w:rsidR="00C16FC5" w:rsidRPr="002C2773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    Adopt policies, especially fiscal, wage and social protection policies, and progressively achieve greater equality</w:t>
            </w:r>
          </w:p>
        </w:tc>
        <w:tc>
          <w:tcPr>
            <w:tcW w:w="1793" w:type="dxa"/>
            <w:vMerge w:val="restart"/>
          </w:tcPr>
          <w:p w14:paraId="65C3A435" w14:textId="4CA4DDC1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    Adopt policies, especially fiscal, wage and social protection policies, and progressively achieve greater equality</w:t>
            </w:r>
          </w:p>
        </w:tc>
        <w:tc>
          <w:tcPr>
            <w:tcW w:w="2097" w:type="dxa"/>
            <w:vMerge w:val="restart"/>
          </w:tcPr>
          <w:p w14:paraId="1D7F6E3B" w14:textId="767F1F79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10.4.1: Labour share of GDP, comprising wages and social protection transfers</w:t>
            </w:r>
          </w:p>
        </w:tc>
        <w:tc>
          <w:tcPr>
            <w:tcW w:w="2127" w:type="dxa"/>
          </w:tcPr>
          <w:p w14:paraId="3CB49344" w14:textId="76A5A27F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 Labour share of GDP - 50%</w:t>
            </w:r>
          </w:p>
        </w:tc>
        <w:tc>
          <w:tcPr>
            <w:tcW w:w="3260" w:type="dxa"/>
          </w:tcPr>
          <w:p w14:paraId="76827CA1" w14:textId="63E80236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 Labour share of GDP -40 %</w:t>
            </w:r>
            <w:r>
              <w:rPr>
                <w:sz w:val="20"/>
                <w:szCs w:val="20"/>
              </w:rPr>
              <w:t xml:space="preserve"> (2014)</w:t>
            </w:r>
          </w:p>
        </w:tc>
        <w:tc>
          <w:tcPr>
            <w:tcW w:w="1417" w:type="dxa"/>
          </w:tcPr>
          <w:p w14:paraId="06F42008" w14:textId="44E6EED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5E7D89FA" w14:textId="6A657DD4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1BF613F2" w14:textId="73C6DA13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შრომა</w:t>
            </w:r>
          </w:p>
        </w:tc>
      </w:tr>
      <w:tr w:rsidR="00C16FC5" w:rsidRPr="00D735CE" w14:paraId="1E5F5AC4" w14:textId="4A67E4AD" w:rsidTr="00C602C0">
        <w:trPr>
          <w:trHeight w:val="607"/>
        </w:trPr>
        <w:tc>
          <w:tcPr>
            <w:tcW w:w="1893" w:type="dxa"/>
            <w:vMerge/>
          </w:tcPr>
          <w:p w14:paraId="063D596A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A9BE3CA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97EA3A2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A586362" w14:textId="2FCEFC4D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10.4.2 Existence of laws and policies that promote parental leave including paternity leave</w:t>
            </w:r>
          </w:p>
        </w:tc>
        <w:tc>
          <w:tcPr>
            <w:tcW w:w="3260" w:type="dxa"/>
          </w:tcPr>
          <w:p w14:paraId="4BE95ECC" w14:textId="55561CA4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10.4.2 The Labor Code and the Georgian Law on “Public Service” guarantee the right of employee to obtain a parental paid and unpaid leave, with no specific indications to rules promoting paternity leave.</w:t>
            </w:r>
          </w:p>
        </w:tc>
        <w:tc>
          <w:tcPr>
            <w:tcW w:w="1417" w:type="dxa"/>
          </w:tcPr>
          <w:p w14:paraId="52E69ACA" w14:textId="43C07A75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73CD19B0" w14:textId="4A26A894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0EBC8D2A" w14:textId="26470615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შრომა?</w:t>
            </w:r>
          </w:p>
        </w:tc>
      </w:tr>
    </w:tbl>
    <w:p w14:paraId="6309A2CD" w14:textId="719BB88F" w:rsidR="002B55BA" w:rsidRDefault="002B55BA"/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25BD2" w14:textId="77777777" w:rsidR="00C8628C" w:rsidRDefault="00C8628C" w:rsidP="00B53778">
      <w:pPr>
        <w:spacing w:after="0" w:line="240" w:lineRule="auto"/>
      </w:pPr>
      <w:r>
        <w:separator/>
      </w:r>
    </w:p>
  </w:endnote>
  <w:endnote w:type="continuationSeparator" w:id="0">
    <w:p w14:paraId="47D9D358" w14:textId="77777777" w:rsidR="00C8628C" w:rsidRDefault="00C8628C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6642" w14:textId="77777777" w:rsidR="00C8628C" w:rsidRDefault="00C8628C" w:rsidP="00B53778">
      <w:pPr>
        <w:spacing w:after="0" w:line="240" w:lineRule="auto"/>
      </w:pPr>
      <w:r>
        <w:separator/>
      </w:r>
    </w:p>
  </w:footnote>
  <w:footnote w:type="continuationSeparator" w:id="0">
    <w:p w14:paraId="34F88EA0" w14:textId="77777777" w:rsidR="00C8628C" w:rsidRDefault="00C8628C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246D34"/>
    <w:rsid w:val="00283B2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5872F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96090"/>
    <w:rsid w:val="00AC5D4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8628C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3A51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  <w15:docId w15:val="{8F198C7C-5DC3-471F-A593-0163411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3359-9173-4D18-86C6-0FAB18CB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Grigol Chkadua</cp:lastModifiedBy>
  <cp:revision>4</cp:revision>
  <dcterms:created xsi:type="dcterms:W3CDTF">2019-01-09T12:25:00Z</dcterms:created>
  <dcterms:modified xsi:type="dcterms:W3CDTF">2019-01-10T06:48:00Z</dcterms:modified>
</cp:coreProperties>
</file>